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791" w:type="pct"/>
        <w:tblInd w:w="0" w:type="dxa"/>
        <w:tblLayout w:type="fixed"/>
        <w:tblCellMar>
          <w:top w:w="0" w:type="dxa"/>
          <w:left w:w="108" w:type="dxa"/>
          <w:bottom w:w="0" w:type="dxa"/>
          <w:right w:w="108" w:type="dxa"/>
        </w:tblCellMar>
      </w:tblPr>
      <w:tblGrid>
        <w:gridCol w:w="982"/>
        <w:gridCol w:w="1707"/>
        <w:gridCol w:w="843"/>
        <w:gridCol w:w="1332"/>
        <w:gridCol w:w="1473"/>
        <w:gridCol w:w="1105"/>
        <w:gridCol w:w="1105"/>
        <w:gridCol w:w="999"/>
      </w:tblGrid>
      <w:tr w14:paraId="3A380E7F">
        <w:tblPrEx>
          <w:tblCellMar>
            <w:top w:w="0" w:type="dxa"/>
            <w:left w:w="108" w:type="dxa"/>
            <w:bottom w:w="0" w:type="dxa"/>
            <w:right w:w="108" w:type="dxa"/>
          </w:tblCellMar>
        </w:tblPrEx>
        <w:trPr>
          <w:trHeight w:val="953" w:hRule="atLeast"/>
        </w:trPr>
        <w:tc>
          <w:tcPr>
            <w:tcW w:w="514" w:type="pct"/>
            <w:tcBorders>
              <w:top w:val="single" w:color="auto" w:sz="4" w:space="0"/>
              <w:left w:val="single" w:color="auto" w:sz="4" w:space="0"/>
              <w:bottom w:val="single" w:color="auto" w:sz="4" w:space="0"/>
              <w:right w:val="single" w:color="auto" w:sz="4" w:space="0"/>
            </w:tcBorders>
            <w:noWrap w:val="0"/>
            <w:vAlign w:val="center"/>
          </w:tcPr>
          <w:p w14:paraId="538E0D1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894" w:type="pct"/>
            <w:tcBorders>
              <w:top w:val="single" w:color="auto" w:sz="4" w:space="0"/>
              <w:left w:val="nil"/>
              <w:bottom w:val="single" w:color="auto" w:sz="4" w:space="0"/>
              <w:right w:val="single" w:color="auto" w:sz="4" w:space="0"/>
            </w:tcBorders>
            <w:noWrap w:val="0"/>
            <w:vAlign w:val="center"/>
          </w:tcPr>
          <w:p w14:paraId="2E37068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441" w:type="pct"/>
            <w:tcBorders>
              <w:top w:val="single" w:color="auto" w:sz="4" w:space="0"/>
              <w:left w:val="nil"/>
              <w:bottom w:val="single" w:color="auto" w:sz="4" w:space="0"/>
              <w:right w:val="single" w:color="auto" w:sz="4" w:space="0"/>
            </w:tcBorders>
            <w:noWrap w:val="0"/>
            <w:vAlign w:val="center"/>
          </w:tcPr>
          <w:p w14:paraId="309ED5B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697" w:type="pct"/>
            <w:tcBorders>
              <w:top w:val="single" w:color="auto" w:sz="4" w:space="0"/>
              <w:left w:val="nil"/>
              <w:bottom w:val="single" w:color="auto" w:sz="4" w:space="0"/>
              <w:right w:val="single" w:color="auto" w:sz="4" w:space="0"/>
            </w:tcBorders>
            <w:noWrap w:val="0"/>
            <w:vAlign w:val="center"/>
          </w:tcPr>
          <w:p w14:paraId="7BFD42B9">
            <w:pPr>
              <w:widowControl/>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rPr>
              <w:t>建筑面积</w:t>
            </w:r>
          </w:p>
        </w:tc>
        <w:tc>
          <w:tcPr>
            <w:tcW w:w="771" w:type="pct"/>
            <w:tcBorders>
              <w:top w:val="single" w:color="auto" w:sz="4" w:space="0"/>
              <w:left w:val="nil"/>
              <w:bottom w:val="single" w:color="auto" w:sz="4" w:space="0"/>
              <w:right w:val="single" w:color="auto" w:sz="4" w:space="0"/>
            </w:tcBorders>
            <w:noWrap w:val="0"/>
            <w:vAlign w:val="center"/>
          </w:tcPr>
          <w:p w14:paraId="60B10384">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578" w:type="pct"/>
            <w:tcBorders>
              <w:top w:val="single" w:color="auto" w:sz="4" w:space="0"/>
              <w:left w:val="nil"/>
              <w:bottom w:val="single" w:color="auto" w:sz="4" w:space="0"/>
              <w:right w:val="single" w:color="auto" w:sz="4" w:space="0"/>
            </w:tcBorders>
            <w:noWrap w:val="0"/>
            <w:vAlign w:val="center"/>
          </w:tcPr>
          <w:p w14:paraId="44079C3C">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578" w:type="pct"/>
            <w:tcBorders>
              <w:top w:val="single" w:color="auto" w:sz="4" w:space="0"/>
              <w:left w:val="nil"/>
              <w:bottom w:val="single" w:color="auto" w:sz="4" w:space="0"/>
              <w:right w:val="single" w:color="auto" w:sz="4" w:space="0"/>
            </w:tcBorders>
            <w:noWrap/>
            <w:vAlign w:val="center"/>
          </w:tcPr>
          <w:p w14:paraId="6B8A5DA1">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523" w:type="pct"/>
            <w:tcBorders>
              <w:top w:val="single" w:color="auto" w:sz="4" w:space="0"/>
              <w:left w:val="nil"/>
              <w:bottom w:val="single" w:color="auto" w:sz="4" w:space="0"/>
              <w:right w:val="single" w:color="auto" w:sz="4" w:space="0"/>
            </w:tcBorders>
            <w:noWrap/>
            <w:vAlign w:val="center"/>
          </w:tcPr>
          <w:p w14:paraId="797B4933">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3BBDE301">
        <w:tblPrEx>
          <w:tblCellMar>
            <w:top w:w="0" w:type="dxa"/>
            <w:left w:w="108" w:type="dxa"/>
            <w:bottom w:w="0" w:type="dxa"/>
            <w:right w:w="108" w:type="dxa"/>
          </w:tblCellMar>
        </w:tblPrEx>
        <w:trPr>
          <w:trHeight w:val="963" w:hRule="atLeast"/>
        </w:trPr>
        <w:tc>
          <w:tcPr>
            <w:tcW w:w="514" w:type="pct"/>
            <w:vMerge w:val="restart"/>
            <w:tcBorders>
              <w:top w:val="single" w:color="auto" w:sz="4" w:space="0"/>
              <w:left w:val="single" w:color="auto" w:sz="8" w:space="0"/>
              <w:right w:val="single" w:color="auto" w:sz="8" w:space="0"/>
            </w:tcBorders>
            <w:noWrap w:val="0"/>
            <w:vAlign w:val="center"/>
          </w:tcPr>
          <w:p w14:paraId="197E565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894" w:type="pct"/>
            <w:tcBorders>
              <w:top w:val="single" w:color="auto" w:sz="4" w:space="0"/>
              <w:left w:val="nil"/>
              <w:bottom w:val="single" w:color="auto" w:sz="4" w:space="0"/>
              <w:right w:val="single" w:color="auto" w:sz="8" w:space="0"/>
            </w:tcBorders>
            <w:noWrap w:val="0"/>
            <w:vAlign w:val="center"/>
          </w:tcPr>
          <w:p w14:paraId="632BA30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镇海区宏远路301号城市物流一期中办公楼西侧展厅</w:t>
            </w:r>
          </w:p>
        </w:tc>
        <w:tc>
          <w:tcPr>
            <w:tcW w:w="441" w:type="pct"/>
            <w:vMerge w:val="restart"/>
            <w:tcBorders>
              <w:top w:val="single" w:color="auto" w:sz="4" w:space="0"/>
              <w:left w:val="nil"/>
              <w:right w:val="single" w:color="auto" w:sz="8" w:space="0"/>
            </w:tcBorders>
            <w:noWrap w:val="0"/>
            <w:vAlign w:val="center"/>
          </w:tcPr>
          <w:p w14:paraId="40061DE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auto"/>
                <w:kern w:val="0"/>
                <w:sz w:val="21"/>
                <w:szCs w:val="21"/>
                <w:highlight w:val="none"/>
                <w:lang w:val="en-US" w:eastAsia="zh-CN"/>
              </w:rPr>
              <w:t>用于产品展示及存放</w:t>
            </w:r>
          </w:p>
        </w:tc>
        <w:tc>
          <w:tcPr>
            <w:tcW w:w="697" w:type="pct"/>
            <w:tcBorders>
              <w:top w:val="single" w:color="auto" w:sz="4" w:space="0"/>
              <w:left w:val="nil"/>
              <w:bottom w:val="single" w:color="auto" w:sz="4" w:space="0"/>
              <w:right w:val="single" w:color="auto" w:sz="8" w:space="0"/>
            </w:tcBorders>
            <w:noWrap w:val="0"/>
            <w:vAlign w:val="center"/>
          </w:tcPr>
          <w:p w14:paraId="1F6116F9">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726.12</w:t>
            </w:r>
            <w:r>
              <w:rPr>
                <w:rFonts w:hint="eastAsia" w:ascii="宋体" w:hAnsi="宋体" w:cs="宋体"/>
                <w:color w:val="000000"/>
                <w:kern w:val="0"/>
                <w:sz w:val="21"/>
                <w:szCs w:val="21"/>
                <w:highlight w:val="none"/>
              </w:rPr>
              <w:t>平方米</w:t>
            </w:r>
          </w:p>
        </w:tc>
        <w:tc>
          <w:tcPr>
            <w:tcW w:w="771" w:type="pct"/>
            <w:vMerge w:val="restart"/>
            <w:tcBorders>
              <w:top w:val="single" w:color="auto" w:sz="4" w:space="0"/>
              <w:left w:val="nil"/>
              <w:right w:val="single" w:color="auto" w:sz="8" w:space="0"/>
            </w:tcBorders>
            <w:noWrap w:val="0"/>
            <w:vAlign w:val="center"/>
          </w:tcPr>
          <w:p w14:paraId="3D30A943">
            <w:pPr>
              <w:pStyle w:val="9"/>
              <w:shd w:val="clear" w:color="auto" w:fill="FFFFFF"/>
              <w:snapToGrid w:val="0"/>
              <w:spacing w:before="0" w:beforeAutospacing="0" w:after="0" w:afterAutospacing="0" w:line="320" w:lineRule="exact"/>
              <w:ind w:firstLine="210" w:firstLineChars="100"/>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343700</w:t>
            </w:r>
          </w:p>
        </w:tc>
        <w:tc>
          <w:tcPr>
            <w:tcW w:w="578" w:type="pct"/>
            <w:vMerge w:val="restart"/>
            <w:tcBorders>
              <w:top w:val="single" w:color="auto" w:sz="4" w:space="0"/>
              <w:left w:val="nil"/>
              <w:right w:val="nil"/>
            </w:tcBorders>
            <w:noWrap w:val="0"/>
            <w:vAlign w:val="center"/>
          </w:tcPr>
          <w:p w14:paraId="69FDFC0D">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50000</w:t>
            </w:r>
          </w:p>
        </w:tc>
        <w:tc>
          <w:tcPr>
            <w:tcW w:w="578" w:type="pct"/>
            <w:vMerge w:val="restart"/>
            <w:tcBorders>
              <w:top w:val="single" w:color="auto" w:sz="4" w:space="0"/>
              <w:left w:val="single" w:color="auto" w:sz="4" w:space="0"/>
              <w:right w:val="single" w:color="auto" w:sz="4" w:space="0"/>
            </w:tcBorders>
            <w:noWrap w:val="0"/>
            <w:vAlign w:val="center"/>
          </w:tcPr>
          <w:p w14:paraId="670D2D1E">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23" w:type="pct"/>
            <w:vMerge w:val="restart"/>
            <w:tcBorders>
              <w:top w:val="single" w:color="auto" w:sz="4" w:space="0"/>
              <w:left w:val="single" w:color="auto" w:sz="4" w:space="0"/>
              <w:right w:val="single" w:color="auto" w:sz="4" w:space="0"/>
            </w:tcBorders>
            <w:noWrap w:val="0"/>
            <w:vAlign w:val="center"/>
          </w:tcPr>
          <w:p w14:paraId="149B035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展厅物业费另计(单价2.5元/平方/月)</w:t>
            </w:r>
          </w:p>
        </w:tc>
      </w:tr>
      <w:tr w14:paraId="3656A66B">
        <w:tblPrEx>
          <w:tblCellMar>
            <w:top w:w="0" w:type="dxa"/>
            <w:left w:w="108" w:type="dxa"/>
            <w:bottom w:w="0" w:type="dxa"/>
            <w:right w:w="108" w:type="dxa"/>
          </w:tblCellMar>
        </w:tblPrEx>
        <w:trPr>
          <w:trHeight w:val="963" w:hRule="atLeast"/>
        </w:trPr>
        <w:tc>
          <w:tcPr>
            <w:tcW w:w="514" w:type="pct"/>
            <w:vMerge w:val="continue"/>
            <w:tcBorders>
              <w:left w:val="single" w:color="auto" w:sz="8" w:space="0"/>
              <w:bottom w:val="single" w:color="auto" w:sz="4" w:space="0"/>
              <w:right w:val="single" w:color="auto" w:sz="8" w:space="0"/>
            </w:tcBorders>
            <w:noWrap w:val="0"/>
            <w:vAlign w:val="center"/>
          </w:tcPr>
          <w:p w14:paraId="1F470459">
            <w:pPr>
              <w:widowControl/>
              <w:jc w:val="center"/>
              <w:rPr>
                <w:rFonts w:hint="eastAsia" w:ascii="宋体" w:hAnsi="宋体" w:cs="宋体"/>
                <w:color w:val="000000"/>
                <w:kern w:val="0"/>
                <w:sz w:val="21"/>
                <w:szCs w:val="21"/>
                <w:highlight w:val="none"/>
                <w:lang w:val="en-US" w:eastAsia="zh-CN"/>
              </w:rPr>
            </w:pPr>
          </w:p>
        </w:tc>
        <w:tc>
          <w:tcPr>
            <w:tcW w:w="894" w:type="pct"/>
            <w:tcBorders>
              <w:top w:val="single" w:color="auto" w:sz="4" w:space="0"/>
              <w:left w:val="nil"/>
              <w:bottom w:val="single" w:color="auto" w:sz="4" w:space="0"/>
              <w:right w:val="single" w:color="auto" w:sz="8" w:space="0"/>
            </w:tcBorders>
            <w:noWrap w:val="0"/>
            <w:vAlign w:val="center"/>
          </w:tcPr>
          <w:p w14:paraId="078498E5">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镇海区宏远路301号城市物流一期中办公楼西侧空地</w:t>
            </w:r>
          </w:p>
        </w:tc>
        <w:tc>
          <w:tcPr>
            <w:tcW w:w="441" w:type="pct"/>
            <w:vMerge w:val="continue"/>
            <w:tcBorders>
              <w:left w:val="nil"/>
              <w:bottom w:val="single" w:color="auto" w:sz="4" w:space="0"/>
              <w:right w:val="single" w:color="auto" w:sz="8" w:space="0"/>
            </w:tcBorders>
            <w:noWrap w:val="0"/>
            <w:vAlign w:val="center"/>
          </w:tcPr>
          <w:p w14:paraId="14F01C82">
            <w:pPr>
              <w:widowControl/>
              <w:jc w:val="center"/>
              <w:rPr>
                <w:rFonts w:hint="default" w:ascii="宋体" w:hAnsi="宋体" w:cs="宋体"/>
                <w:color w:val="000000"/>
                <w:kern w:val="0"/>
                <w:sz w:val="21"/>
                <w:szCs w:val="21"/>
                <w:highlight w:val="none"/>
                <w:lang w:val="en-US" w:eastAsia="zh-CN"/>
              </w:rPr>
            </w:pPr>
          </w:p>
        </w:tc>
        <w:tc>
          <w:tcPr>
            <w:tcW w:w="697" w:type="pct"/>
            <w:tcBorders>
              <w:top w:val="single" w:color="auto" w:sz="4" w:space="0"/>
              <w:left w:val="nil"/>
              <w:bottom w:val="single" w:color="auto" w:sz="4" w:space="0"/>
              <w:right w:val="single" w:color="auto" w:sz="8" w:space="0"/>
            </w:tcBorders>
            <w:noWrap w:val="0"/>
            <w:vAlign w:val="center"/>
          </w:tcPr>
          <w:p w14:paraId="2EE1D315">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4亩</w:t>
            </w:r>
          </w:p>
        </w:tc>
        <w:tc>
          <w:tcPr>
            <w:tcW w:w="771" w:type="pct"/>
            <w:vMerge w:val="continue"/>
            <w:tcBorders>
              <w:left w:val="nil"/>
              <w:bottom w:val="single" w:color="auto" w:sz="4" w:space="0"/>
              <w:right w:val="single" w:color="auto" w:sz="8" w:space="0"/>
            </w:tcBorders>
            <w:noWrap w:val="0"/>
            <w:vAlign w:val="center"/>
          </w:tcPr>
          <w:p w14:paraId="44F4778E">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p>
        </w:tc>
        <w:tc>
          <w:tcPr>
            <w:tcW w:w="578" w:type="pct"/>
            <w:vMerge w:val="continue"/>
            <w:tcBorders>
              <w:left w:val="nil"/>
              <w:bottom w:val="single" w:color="auto" w:sz="4" w:space="0"/>
              <w:right w:val="nil"/>
            </w:tcBorders>
            <w:noWrap w:val="0"/>
            <w:vAlign w:val="center"/>
          </w:tcPr>
          <w:p w14:paraId="1C728F51">
            <w:pPr>
              <w:widowControl/>
              <w:jc w:val="center"/>
              <w:textAlignment w:val="center"/>
              <w:rPr>
                <w:rFonts w:hint="eastAsia" w:ascii="宋体" w:hAnsi="宋体" w:cs="宋体"/>
                <w:color w:val="000000"/>
                <w:kern w:val="0"/>
                <w:sz w:val="21"/>
                <w:szCs w:val="21"/>
                <w:highlight w:val="none"/>
                <w:lang w:val="en-US" w:eastAsia="zh-CN"/>
              </w:rPr>
            </w:pPr>
          </w:p>
        </w:tc>
        <w:tc>
          <w:tcPr>
            <w:tcW w:w="578" w:type="pct"/>
            <w:vMerge w:val="continue"/>
            <w:tcBorders>
              <w:left w:val="single" w:color="auto" w:sz="4" w:space="0"/>
              <w:bottom w:val="single" w:color="auto" w:sz="4" w:space="0"/>
              <w:right w:val="single" w:color="auto" w:sz="4" w:space="0"/>
            </w:tcBorders>
            <w:noWrap w:val="0"/>
            <w:vAlign w:val="center"/>
          </w:tcPr>
          <w:p w14:paraId="72E1F5A0">
            <w:pPr>
              <w:widowControl/>
              <w:jc w:val="center"/>
              <w:rPr>
                <w:rFonts w:hint="eastAsia" w:ascii="宋体" w:hAnsi="宋体" w:cs="宋体"/>
                <w:color w:val="000000"/>
                <w:kern w:val="0"/>
                <w:sz w:val="21"/>
                <w:szCs w:val="21"/>
                <w:highlight w:val="none"/>
                <w:lang w:val="en-US" w:eastAsia="zh-CN"/>
              </w:rPr>
            </w:pPr>
          </w:p>
        </w:tc>
        <w:tc>
          <w:tcPr>
            <w:tcW w:w="523" w:type="pct"/>
            <w:vMerge w:val="continue"/>
            <w:tcBorders>
              <w:left w:val="single" w:color="auto" w:sz="4" w:space="0"/>
              <w:bottom w:val="single" w:color="auto" w:sz="4" w:space="0"/>
              <w:right w:val="single" w:color="auto" w:sz="4" w:space="0"/>
            </w:tcBorders>
            <w:noWrap w:val="0"/>
            <w:vAlign w:val="center"/>
          </w:tcPr>
          <w:p w14:paraId="064A5548">
            <w:pPr>
              <w:widowControl/>
              <w:jc w:val="center"/>
              <w:rPr>
                <w:rFonts w:hint="eastAsia" w:ascii="宋体" w:hAnsi="宋体" w:cs="宋体"/>
                <w:color w:val="000000"/>
                <w:kern w:val="0"/>
                <w:sz w:val="21"/>
                <w:szCs w:val="21"/>
                <w:highlight w:val="none"/>
                <w:lang w:val="en-US" w:eastAsia="zh-CN"/>
              </w:rPr>
            </w:pPr>
          </w:p>
        </w:tc>
      </w:tr>
    </w:tbl>
    <w:p w14:paraId="7E94B3A5">
      <w:pPr>
        <w:spacing w:line="420" w:lineRule="exact"/>
        <w:ind w:firstLine="482" w:firstLineChars="200"/>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3E68573A">
      <w:pPr>
        <w:numPr>
          <w:ilvl w:val="0"/>
          <w:numId w:val="1"/>
        </w:numPr>
        <w:spacing w:line="360" w:lineRule="auto"/>
        <w:ind w:firstLine="482"/>
        <w:rPr>
          <w:rFonts w:hint="eastAsia" w:ascii="宋体" w:hAnsi="宋体"/>
          <w:b/>
          <w:color w:val="auto"/>
          <w:sz w:val="24"/>
          <w:szCs w:val="24"/>
          <w:lang w:val="en-US" w:eastAsia="zh-CN"/>
        </w:rPr>
      </w:pPr>
      <w:bookmarkStart w:id="0" w:name="OLE_LINK7"/>
      <w:r>
        <w:rPr>
          <w:rFonts w:hint="eastAsia" w:ascii="宋体" w:hAnsi="宋体" w:cs="宋体"/>
          <w:b/>
          <w:kern w:val="0"/>
          <w:sz w:val="24"/>
          <w:szCs w:val="24"/>
          <w:lang w:val="en-US" w:eastAsia="zh-CN"/>
        </w:rPr>
        <w:t>标的</w:t>
      </w:r>
      <w:r>
        <w:rPr>
          <w:rFonts w:hint="eastAsia" w:ascii="宋体" w:hAnsi="宋体"/>
          <w:b/>
          <w:color w:val="auto"/>
          <w:sz w:val="24"/>
          <w:szCs w:val="24"/>
          <w:lang w:val="en-US" w:eastAsia="zh-CN"/>
        </w:rPr>
        <w:t>不得存放易燃易爆品、灌装液体、危险化学品等，不能违反国家或当地政府环境质量要求产生噪音、废气、废水等污染物，不得在场地上放置渣土及搭建任何建筑物等，不得在场地内进行机械设备及车辆维修、拆装等，不得擅自直接或变相地全部或部分转租、转让标的，不得擅自改变标的用途，不得进行法律、法规禁止的其他活动。如发现违反该标的规定使用的，视为违约，委托人（出租人）有权无条件收回该标的，履约保证金不予退还，买受人（承租人）还需承担相应的违约责任。场地内堆放的货物高度限5米内，超出限高视为违约，委托人（出租人）有权无条件收回该标的，履约保证金不予退还，买受人（承租人）还需承担相应的违约责任。</w:t>
      </w:r>
    </w:p>
    <w:bookmarkEnd w:id="0"/>
    <w:p w14:paraId="119EFF60">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5万元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18</w:t>
      </w:r>
      <w:bookmarkStart w:id="1" w:name="_GoBack"/>
      <w:bookmarkEnd w:id="1"/>
      <w:r>
        <w:rPr>
          <w:rFonts w:hint="eastAsia" w:ascii="宋体" w:hAnsi="宋体" w:eastAsia="宋体" w:cs="宋体"/>
          <w:color w:val="auto"/>
          <w:sz w:val="24"/>
          <w:szCs w:val="24"/>
        </w:rPr>
        <w:t>日</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统一社会信用代码：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地址：宁波市镇海区平海路1188号。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单位名称：宁波市镇海公路主枢纽货运站有限公司</w:t>
      </w:r>
    </w:p>
    <w:p w14:paraId="4907566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开户银行：  中国建设银行宁波镇海支行</w:t>
      </w:r>
    </w:p>
    <w:p w14:paraId="1FB048A2">
      <w:pPr>
        <w:adjustRightInd w:val="0"/>
        <w:snapToGrid w:val="0"/>
        <w:spacing w:line="560" w:lineRule="exact"/>
        <w:ind w:firstLine="600" w:firstLineChars="200"/>
        <w:rPr>
          <w:rFonts w:hint="eastAsia" w:ascii="宋体" w:hAnsi="宋体" w:cs="宋体"/>
          <w:sz w:val="30"/>
          <w:szCs w:val="30"/>
        </w:rPr>
      </w:pPr>
      <w:r>
        <w:rPr>
          <w:rFonts w:hint="eastAsia" w:ascii="宋体" w:hAnsi="宋体" w:cs="宋体"/>
          <w:sz w:val="30"/>
          <w:szCs w:val="30"/>
        </w:rPr>
        <w:t>开户账号：33101984036050163517</w:t>
      </w:r>
    </w:p>
    <w:p w14:paraId="48DF2DA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6"/>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7"/>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2E05BB-1C2B-49D8-8665-B9C1B14C11C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F6ACB396-372D-4D45-85F3-442FF911E13F}"/>
  </w:font>
  <w:font w:name="仿宋_GB2312">
    <w:panose1 w:val="02010609030101010101"/>
    <w:charset w:val="86"/>
    <w:family w:val="modern"/>
    <w:pitch w:val="default"/>
    <w:sig w:usb0="00000001" w:usb1="080E0000" w:usb2="00000000" w:usb3="00000000" w:csb0="00040000" w:csb1="00000000"/>
    <w:embedRegular r:id="rId3" w:fontKey="{2D40E241-BA9D-42C8-9B96-323A07D15981}"/>
  </w:font>
  <w:font w:name="方正小标宋简体">
    <w:panose1 w:val="02000000000000000000"/>
    <w:charset w:val="86"/>
    <w:family w:val="auto"/>
    <w:pitch w:val="default"/>
    <w:sig w:usb0="00000001" w:usb1="08000000" w:usb2="00000000" w:usb3="00000000" w:csb0="00040000" w:csb1="00000000"/>
    <w:embedRegular r:id="rId4" w:fontKey="{3880A93B-E104-4316-BD39-215783913638}"/>
  </w:font>
  <w:font w:name="Helvetica">
    <w:altName w:val="Arial"/>
    <w:panose1 w:val="020B0604020202020204"/>
    <w:charset w:val="00"/>
    <w:family w:val="swiss"/>
    <w:pitch w:val="default"/>
    <w:sig w:usb0="00000000" w:usb1="00000000" w:usb2="00000000" w:usb3="00000000" w:csb0="00000001" w:csb1="00000000"/>
    <w:embedRegular r:id="rId5" w:fontKey="{96410839-0074-4D43-984D-2C5B312186E3}"/>
  </w:font>
  <w:font w:name="仿宋">
    <w:panose1 w:val="02010609060101010101"/>
    <w:charset w:val="86"/>
    <w:family w:val="auto"/>
    <w:pitch w:val="default"/>
    <w:sig w:usb0="800002BF" w:usb1="38CF7CFA" w:usb2="00000016" w:usb3="00000000" w:csb0="00040001" w:csb1="00000000"/>
    <w:embedRegular r:id="rId6" w:fontKey="{F7A14455-5829-40DB-9AF9-32C9EC4ACD3B}"/>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145609"/>
    <w:rsid w:val="01E90844"/>
    <w:rsid w:val="024141DC"/>
    <w:rsid w:val="0332193F"/>
    <w:rsid w:val="03A83EC6"/>
    <w:rsid w:val="044C330C"/>
    <w:rsid w:val="046248DD"/>
    <w:rsid w:val="04CC48A5"/>
    <w:rsid w:val="04E8159A"/>
    <w:rsid w:val="05706B86"/>
    <w:rsid w:val="07724E37"/>
    <w:rsid w:val="078C6EA6"/>
    <w:rsid w:val="082C148A"/>
    <w:rsid w:val="09563087"/>
    <w:rsid w:val="0AC7549A"/>
    <w:rsid w:val="0ADA341F"/>
    <w:rsid w:val="0B27418B"/>
    <w:rsid w:val="0B845139"/>
    <w:rsid w:val="0C654F6B"/>
    <w:rsid w:val="0C9E047D"/>
    <w:rsid w:val="0CAE11B1"/>
    <w:rsid w:val="0D2941EA"/>
    <w:rsid w:val="0D755681"/>
    <w:rsid w:val="0DB60CFB"/>
    <w:rsid w:val="0E032C8D"/>
    <w:rsid w:val="0E8A515C"/>
    <w:rsid w:val="0E8C4620"/>
    <w:rsid w:val="0F45621F"/>
    <w:rsid w:val="0F9E7DA0"/>
    <w:rsid w:val="0FE32D76"/>
    <w:rsid w:val="10447EAA"/>
    <w:rsid w:val="13E40E6B"/>
    <w:rsid w:val="15565D98"/>
    <w:rsid w:val="15EC3809"/>
    <w:rsid w:val="16124B55"/>
    <w:rsid w:val="163F682C"/>
    <w:rsid w:val="1673687F"/>
    <w:rsid w:val="16B4429C"/>
    <w:rsid w:val="171B2DF6"/>
    <w:rsid w:val="17A70B2D"/>
    <w:rsid w:val="183A35E1"/>
    <w:rsid w:val="1B6C6C42"/>
    <w:rsid w:val="1C36422E"/>
    <w:rsid w:val="1C7B60E4"/>
    <w:rsid w:val="1E1B192D"/>
    <w:rsid w:val="1F1840BF"/>
    <w:rsid w:val="1F2B3DF2"/>
    <w:rsid w:val="202E24B8"/>
    <w:rsid w:val="20C444FE"/>
    <w:rsid w:val="2149055F"/>
    <w:rsid w:val="21751354"/>
    <w:rsid w:val="22771AD7"/>
    <w:rsid w:val="228A7081"/>
    <w:rsid w:val="236C6787"/>
    <w:rsid w:val="23AB3753"/>
    <w:rsid w:val="23AC639B"/>
    <w:rsid w:val="24FF3D57"/>
    <w:rsid w:val="26A12BEB"/>
    <w:rsid w:val="26BA6837"/>
    <w:rsid w:val="270E5359"/>
    <w:rsid w:val="27E3461F"/>
    <w:rsid w:val="283F26BC"/>
    <w:rsid w:val="294001AA"/>
    <w:rsid w:val="29FA0F90"/>
    <w:rsid w:val="2CC24314"/>
    <w:rsid w:val="2EBA6F40"/>
    <w:rsid w:val="2F6173BC"/>
    <w:rsid w:val="2FBE65BC"/>
    <w:rsid w:val="2FE57FED"/>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9E127E1"/>
    <w:rsid w:val="3A667F7C"/>
    <w:rsid w:val="3A6B10EF"/>
    <w:rsid w:val="3C1504A5"/>
    <w:rsid w:val="3CCF1E09"/>
    <w:rsid w:val="3DC54FBA"/>
    <w:rsid w:val="3ED216D9"/>
    <w:rsid w:val="407B3020"/>
    <w:rsid w:val="41704F33"/>
    <w:rsid w:val="41C9151C"/>
    <w:rsid w:val="41D34149"/>
    <w:rsid w:val="41DF4BEC"/>
    <w:rsid w:val="43574906"/>
    <w:rsid w:val="438F64E0"/>
    <w:rsid w:val="445A2900"/>
    <w:rsid w:val="448160DE"/>
    <w:rsid w:val="45392515"/>
    <w:rsid w:val="45BE0C6C"/>
    <w:rsid w:val="47571378"/>
    <w:rsid w:val="477261B2"/>
    <w:rsid w:val="49521DF7"/>
    <w:rsid w:val="495C4A24"/>
    <w:rsid w:val="49F639D4"/>
    <w:rsid w:val="4A687422"/>
    <w:rsid w:val="4A6F4C2B"/>
    <w:rsid w:val="4DB72B71"/>
    <w:rsid w:val="4EFF199E"/>
    <w:rsid w:val="50BB6933"/>
    <w:rsid w:val="51087240"/>
    <w:rsid w:val="517F670C"/>
    <w:rsid w:val="51850890"/>
    <w:rsid w:val="53163C4B"/>
    <w:rsid w:val="53DB6E8D"/>
    <w:rsid w:val="548B08B3"/>
    <w:rsid w:val="54A2107A"/>
    <w:rsid w:val="551408A9"/>
    <w:rsid w:val="55A0213D"/>
    <w:rsid w:val="578E4942"/>
    <w:rsid w:val="58845F28"/>
    <w:rsid w:val="58CB5722"/>
    <w:rsid w:val="58DF4954"/>
    <w:rsid w:val="58FF53CC"/>
    <w:rsid w:val="59142C25"/>
    <w:rsid w:val="5AD32876"/>
    <w:rsid w:val="5B3752F1"/>
    <w:rsid w:val="5C0E6052"/>
    <w:rsid w:val="5D1A6C78"/>
    <w:rsid w:val="5DA64068"/>
    <w:rsid w:val="5E425E33"/>
    <w:rsid w:val="5F772160"/>
    <w:rsid w:val="601C4AB5"/>
    <w:rsid w:val="60310561"/>
    <w:rsid w:val="60DB227B"/>
    <w:rsid w:val="613227E3"/>
    <w:rsid w:val="633839B4"/>
    <w:rsid w:val="63A32D5E"/>
    <w:rsid w:val="63D657AA"/>
    <w:rsid w:val="64A05CB5"/>
    <w:rsid w:val="65A17F37"/>
    <w:rsid w:val="68B65AA7"/>
    <w:rsid w:val="69B0699A"/>
    <w:rsid w:val="69E71C90"/>
    <w:rsid w:val="69FA5E67"/>
    <w:rsid w:val="6B2A277C"/>
    <w:rsid w:val="6C186A79"/>
    <w:rsid w:val="6EC46A44"/>
    <w:rsid w:val="6EE15C81"/>
    <w:rsid w:val="6EF54E4F"/>
    <w:rsid w:val="6EF81C00"/>
    <w:rsid w:val="70AB7EBB"/>
    <w:rsid w:val="72FD2525"/>
    <w:rsid w:val="73E90139"/>
    <w:rsid w:val="74055B36"/>
    <w:rsid w:val="742372E1"/>
    <w:rsid w:val="74D3353D"/>
    <w:rsid w:val="750D1C16"/>
    <w:rsid w:val="75545F0B"/>
    <w:rsid w:val="75A629FF"/>
    <w:rsid w:val="75E07877"/>
    <w:rsid w:val="75ED062E"/>
    <w:rsid w:val="76426BCC"/>
    <w:rsid w:val="78FE2B52"/>
    <w:rsid w:val="795D3D1D"/>
    <w:rsid w:val="79F91C98"/>
    <w:rsid w:val="79FD2E0A"/>
    <w:rsid w:val="7A0847C2"/>
    <w:rsid w:val="7A15284A"/>
    <w:rsid w:val="7AE42206"/>
    <w:rsid w:val="7B21693E"/>
    <w:rsid w:val="7CEE331F"/>
    <w:rsid w:val="7E5971A9"/>
    <w:rsid w:val="7E5E656D"/>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9046</Words>
  <Characters>9312</Characters>
  <Lines>0</Lines>
  <Paragraphs>0</Paragraphs>
  <TotalTime>0</TotalTime>
  <ScaleCrop>false</ScaleCrop>
  <LinksUpToDate>false</LinksUpToDate>
  <CharactersWithSpaces>9838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2025-12-18T00:55:38Z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